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F" w:rsidRPr="00DB193F" w:rsidRDefault="00DB193F" w:rsidP="00DB193F">
      <w:pPr>
        <w:jc w:val="center"/>
        <w:rPr>
          <w:rFonts w:ascii="Tahoma" w:hAnsi="Tahoma" w:cs="Tahoma"/>
          <w:b/>
          <w:sz w:val="24"/>
          <w:szCs w:val="24"/>
        </w:rPr>
      </w:pPr>
      <w:r w:rsidRPr="00DB193F">
        <w:rPr>
          <w:rFonts w:ascii="Tahoma" w:hAnsi="Tahoma" w:cs="Tahoma"/>
          <w:b/>
          <w:color w:val="333333"/>
          <w:sz w:val="24"/>
          <w:szCs w:val="24"/>
        </w:rPr>
        <w:t xml:space="preserve">Navodila za izvedbo presoje </w:t>
      </w:r>
      <w:r w:rsidRPr="00DB193F">
        <w:rPr>
          <w:rFonts w:ascii="Tahoma" w:hAnsi="Tahoma" w:cs="Tahoma"/>
          <w:b/>
          <w:sz w:val="24"/>
          <w:szCs w:val="24"/>
        </w:rPr>
        <w:t xml:space="preserve">stanja materialov </w:t>
      </w:r>
      <w:proofErr w:type="gramStart"/>
      <w:r w:rsidRPr="00DB193F">
        <w:rPr>
          <w:rFonts w:ascii="Tahoma" w:hAnsi="Tahoma" w:cs="Tahoma"/>
          <w:b/>
          <w:sz w:val="24"/>
          <w:szCs w:val="24"/>
        </w:rPr>
        <w:t>AB konstru</w:t>
      </w:r>
      <w:r w:rsidRPr="00DB193F">
        <w:rPr>
          <w:rFonts w:ascii="Tahoma" w:hAnsi="Tahoma" w:cs="Tahoma"/>
          <w:b/>
          <w:sz w:val="24"/>
          <w:szCs w:val="24"/>
        </w:rPr>
        <w:t>kcije</w:t>
      </w:r>
      <w:proofErr w:type="gramEnd"/>
      <w:r w:rsidRPr="00DB193F">
        <w:rPr>
          <w:rFonts w:ascii="Tahoma" w:hAnsi="Tahoma" w:cs="Tahoma"/>
          <w:b/>
          <w:sz w:val="24"/>
          <w:szCs w:val="24"/>
        </w:rPr>
        <w:t xml:space="preserve"> premostitvenega objekta</w:t>
      </w:r>
      <w:r w:rsidRPr="00DB193F">
        <w:rPr>
          <w:rFonts w:ascii="Tahoma" w:hAnsi="Tahoma" w:cs="Tahoma"/>
          <w:b/>
          <w:sz w:val="24"/>
          <w:szCs w:val="24"/>
        </w:rPr>
        <w:t xml:space="preserve"> in statične presoje sidranja jeklenih vertikalnih stebrov PHO na AB konstrukcijo premostitvenega objekta</w:t>
      </w:r>
    </w:p>
    <w:p w:rsidR="00DB193F" w:rsidRDefault="00DB193F" w:rsidP="004E46CE">
      <w:pPr>
        <w:jc w:val="both"/>
        <w:rPr>
          <w:rFonts w:ascii="Tahoma" w:hAnsi="Tahoma" w:cs="Tahoma"/>
        </w:rPr>
      </w:pPr>
    </w:p>
    <w:p w:rsidR="006C6D27" w:rsidRPr="00DB193F" w:rsidRDefault="00DB193F" w:rsidP="004E46CE">
      <w:pPr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Za:</w:t>
      </w:r>
      <w:r w:rsidR="004E46CE" w:rsidRPr="00DB193F">
        <w:rPr>
          <w:rFonts w:ascii="Tahoma" w:hAnsi="Tahoma" w:cs="Tahoma"/>
        </w:rPr>
        <w:t xml:space="preserve"> Izdelav</w:t>
      </w:r>
      <w:r w:rsidRPr="00DB193F">
        <w:rPr>
          <w:rFonts w:ascii="Tahoma" w:hAnsi="Tahoma" w:cs="Tahoma"/>
        </w:rPr>
        <w:t>o</w:t>
      </w:r>
      <w:r w:rsidR="004E46CE" w:rsidRPr="00DB193F">
        <w:rPr>
          <w:rFonts w:ascii="Tahoma" w:hAnsi="Tahoma" w:cs="Tahoma"/>
        </w:rPr>
        <w:t xml:space="preserve"> izvedbenega načrta za aktivno protihrupno zaščito ob glavni železniški progi št. 10 </w:t>
      </w:r>
      <w:proofErr w:type="spellStart"/>
      <w:proofErr w:type="gramStart"/>
      <w:r w:rsidR="004E46CE" w:rsidRPr="00DB193F">
        <w:rPr>
          <w:rFonts w:ascii="Tahoma" w:hAnsi="Tahoma" w:cs="Tahoma"/>
        </w:rPr>
        <w:t>d.</w:t>
      </w:r>
      <w:proofErr w:type="gramEnd"/>
      <w:r w:rsidR="004E46CE" w:rsidRPr="00DB193F">
        <w:rPr>
          <w:rFonts w:ascii="Tahoma" w:hAnsi="Tahoma" w:cs="Tahoma"/>
        </w:rPr>
        <w:t>m</w:t>
      </w:r>
      <w:proofErr w:type="spellEnd"/>
      <w:r w:rsidR="004E46CE" w:rsidRPr="00DB193F">
        <w:rPr>
          <w:rFonts w:ascii="Tahoma" w:hAnsi="Tahoma" w:cs="Tahoma"/>
        </w:rPr>
        <w:t xml:space="preserve">. - Dobova </w:t>
      </w:r>
      <w:r w:rsidR="00F10550" w:rsidRPr="00DB193F">
        <w:rPr>
          <w:rFonts w:ascii="Tahoma" w:hAnsi="Tahoma" w:cs="Tahoma"/>
        </w:rPr>
        <w:t>–</w:t>
      </w:r>
      <w:r w:rsidR="004E46CE" w:rsidRPr="00DB193F">
        <w:rPr>
          <w:rFonts w:ascii="Tahoma" w:hAnsi="Tahoma" w:cs="Tahoma"/>
        </w:rPr>
        <w:t xml:space="preserve"> Ljubljana</w:t>
      </w:r>
      <w:r w:rsidR="00F10550" w:rsidRPr="00DB193F">
        <w:rPr>
          <w:rFonts w:ascii="Tahoma" w:hAnsi="Tahoma" w:cs="Tahoma"/>
        </w:rPr>
        <w:t>,</w:t>
      </w:r>
      <w:r w:rsidR="004E46CE" w:rsidRPr="00DB193F">
        <w:rPr>
          <w:rFonts w:ascii="Tahoma" w:hAnsi="Tahoma" w:cs="Tahoma"/>
        </w:rPr>
        <w:t xml:space="preserve"> na območju občine Litija</w:t>
      </w:r>
    </w:p>
    <w:p w:rsidR="004E46CE" w:rsidRDefault="004E46CE" w:rsidP="006C6D27">
      <w:pPr>
        <w:rPr>
          <w:rFonts w:ascii="Tahoma" w:hAnsi="Tahoma" w:cs="Tahoma"/>
          <w:b/>
        </w:rPr>
      </w:pPr>
    </w:p>
    <w:p w:rsidR="006C6D27" w:rsidRDefault="00DB193F" w:rsidP="006C6D27">
      <w:pPr>
        <w:ind w:left="85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del:</w:t>
      </w:r>
      <w:r>
        <w:rPr>
          <w:rFonts w:ascii="Tahoma" w:hAnsi="Tahoma" w:cs="Tahoma"/>
          <w:b/>
        </w:rPr>
        <w:tab/>
      </w:r>
      <w:r w:rsidR="006C6D27">
        <w:rPr>
          <w:rFonts w:ascii="Tahoma" w:hAnsi="Tahoma" w:cs="Tahoma"/>
          <w:b/>
        </w:rPr>
        <w:t>Tehnološka presoja stanja materialov AB konstrukcije premostitvenega objekta za namen sidranja jeklenih vertikalnih stebrov PHO</w:t>
      </w:r>
    </w:p>
    <w:p w:rsidR="006C6D27" w:rsidRPr="006C6D27" w:rsidRDefault="006C6D27" w:rsidP="004E46CE">
      <w:pPr>
        <w:jc w:val="both"/>
        <w:rPr>
          <w:rFonts w:ascii="Tahoma" w:hAnsi="Tahoma" w:cs="Tahoma"/>
        </w:rPr>
      </w:pPr>
      <w:r w:rsidRPr="006C6D27">
        <w:rPr>
          <w:rFonts w:ascii="Tahoma" w:hAnsi="Tahoma" w:cs="Tahoma"/>
        </w:rPr>
        <w:t>1.1.</w:t>
      </w:r>
      <w:r w:rsidRPr="006C6D27">
        <w:rPr>
          <w:rFonts w:ascii="Tahoma" w:hAnsi="Tahoma" w:cs="Tahoma"/>
        </w:rPr>
        <w:tab/>
        <w:t>Za vse dele objektov</w:t>
      </w:r>
      <w:r w:rsidR="00E307C0">
        <w:rPr>
          <w:rFonts w:ascii="Tahoma" w:hAnsi="Tahoma" w:cs="Tahoma"/>
        </w:rPr>
        <w:t>, kjer se PHO neposredno sidra,</w:t>
      </w:r>
      <w:r w:rsidRPr="006C6D27">
        <w:rPr>
          <w:rFonts w:ascii="Tahoma" w:hAnsi="Tahoma" w:cs="Tahoma"/>
        </w:rPr>
        <w:t xml:space="preserve"> je potrebna izdelava katastra poškodb, ki zajema podatke o lokaciji, obsegu, jakosti in vzrokih nastanka poškodb s fotodokumentacijo. Za </w:t>
      </w:r>
      <w:r>
        <w:rPr>
          <w:rFonts w:ascii="Tahoma" w:hAnsi="Tahoma" w:cs="Tahoma"/>
        </w:rPr>
        <w:t>robne vence, konzole</w:t>
      </w:r>
      <w:r w:rsidRPr="006C6D2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zgornje del</w:t>
      </w:r>
      <w:r w:rsidR="00E307C0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kril in </w:t>
      </w:r>
      <w:r w:rsidR="00E307C0">
        <w:rPr>
          <w:rFonts w:ascii="Tahoma" w:hAnsi="Tahoma" w:cs="Tahoma"/>
        </w:rPr>
        <w:t xml:space="preserve">stene </w:t>
      </w:r>
      <w:r>
        <w:rPr>
          <w:rFonts w:ascii="Tahoma" w:hAnsi="Tahoma" w:cs="Tahoma"/>
        </w:rPr>
        <w:t>krajnih podpor</w:t>
      </w:r>
      <w:r w:rsidR="00E307C0">
        <w:rPr>
          <w:rFonts w:ascii="Tahoma" w:hAnsi="Tahoma" w:cs="Tahoma"/>
        </w:rPr>
        <w:t xml:space="preserve"> ali zidov</w:t>
      </w:r>
      <w:r w:rsidRPr="006C6D27">
        <w:rPr>
          <w:rFonts w:ascii="Tahoma" w:hAnsi="Tahoma" w:cs="Tahoma"/>
        </w:rPr>
        <w:t xml:space="preserve"> je potreben podroben kataster razpok. Ugotoviti je </w:t>
      </w:r>
      <w:proofErr w:type="gramStart"/>
      <w:r w:rsidRPr="006C6D27">
        <w:rPr>
          <w:rFonts w:ascii="Tahoma" w:hAnsi="Tahoma" w:cs="Tahoma"/>
        </w:rPr>
        <w:t>potrebno</w:t>
      </w:r>
      <w:proofErr w:type="gramEnd"/>
      <w:r w:rsidRPr="006C6D27">
        <w:rPr>
          <w:rFonts w:ascii="Tahoma" w:hAnsi="Tahoma" w:cs="Tahoma"/>
        </w:rPr>
        <w:t xml:space="preserve"> položaj </w:t>
      </w:r>
      <w:proofErr w:type="spellStart"/>
      <w:r w:rsidRPr="006C6D27">
        <w:rPr>
          <w:rFonts w:ascii="Tahoma" w:hAnsi="Tahoma" w:cs="Tahoma"/>
        </w:rPr>
        <w:t>delaminiranih</w:t>
      </w:r>
      <w:proofErr w:type="spellEnd"/>
      <w:r w:rsidRPr="006C6D27">
        <w:rPr>
          <w:rFonts w:ascii="Tahoma" w:hAnsi="Tahoma" w:cs="Tahoma"/>
        </w:rPr>
        <w:t xml:space="preserve"> delov s pretrkavanjem. Za </w:t>
      </w:r>
      <w:proofErr w:type="spellStart"/>
      <w:r w:rsidRPr="006C6D27">
        <w:rPr>
          <w:rFonts w:ascii="Tahoma" w:hAnsi="Tahoma" w:cs="Tahoma"/>
        </w:rPr>
        <w:t>delaminirana</w:t>
      </w:r>
      <w:proofErr w:type="spellEnd"/>
      <w:r w:rsidRPr="006C6D27">
        <w:rPr>
          <w:rFonts w:ascii="Tahoma" w:hAnsi="Tahoma" w:cs="Tahoma"/>
        </w:rPr>
        <w:t xml:space="preserve"> mesta je </w:t>
      </w:r>
      <w:proofErr w:type="gramStart"/>
      <w:r w:rsidRPr="006C6D27">
        <w:rPr>
          <w:rFonts w:ascii="Tahoma" w:hAnsi="Tahoma" w:cs="Tahoma"/>
        </w:rPr>
        <w:t>potrebno</w:t>
      </w:r>
      <w:proofErr w:type="gramEnd"/>
      <w:r w:rsidRPr="006C6D27">
        <w:rPr>
          <w:rFonts w:ascii="Tahoma" w:hAnsi="Tahoma" w:cs="Tahoma"/>
        </w:rPr>
        <w:t xml:space="preserve"> ugotoviti povprečno, maksimalno debelino </w:t>
      </w:r>
      <w:proofErr w:type="spellStart"/>
      <w:r w:rsidRPr="006C6D27">
        <w:rPr>
          <w:rFonts w:ascii="Tahoma" w:hAnsi="Tahoma" w:cs="Tahoma"/>
        </w:rPr>
        <w:t>delaminiranega</w:t>
      </w:r>
      <w:proofErr w:type="spellEnd"/>
      <w:r w:rsidRPr="006C6D27">
        <w:rPr>
          <w:rFonts w:ascii="Tahoma" w:hAnsi="Tahoma" w:cs="Tahoma"/>
        </w:rPr>
        <w:t xml:space="preserve"> betona.</w:t>
      </w:r>
    </w:p>
    <w:p w:rsidR="006C6D27" w:rsidRPr="006C6D27" w:rsidRDefault="006C6D27" w:rsidP="004E46CE">
      <w:pPr>
        <w:jc w:val="both"/>
        <w:rPr>
          <w:rFonts w:ascii="Tahoma" w:hAnsi="Tahoma" w:cs="Tahoma"/>
        </w:rPr>
      </w:pPr>
      <w:r w:rsidRPr="006C6D27">
        <w:rPr>
          <w:rFonts w:ascii="Tahoma" w:hAnsi="Tahoma" w:cs="Tahoma"/>
        </w:rPr>
        <w:t>1.2.</w:t>
      </w:r>
      <w:r w:rsidRPr="006C6D27">
        <w:rPr>
          <w:rFonts w:ascii="Tahoma" w:hAnsi="Tahoma" w:cs="Tahoma"/>
        </w:rPr>
        <w:tab/>
        <w:t>Za vse nosilne elemente betona je potrebna izvedba preiskav ka</w:t>
      </w:r>
      <w:r>
        <w:rPr>
          <w:rFonts w:ascii="Tahoma" w:hAnsi="Tahoma" w:cs="Tahoma"/>
        </w:rPr>
        <w:t>kovosti</w:t>
      </w:r>
      <w:r w:rsidRPr="006C6D27">
        <w:rPr>
          <w:rFonts w:ascii="Tahoma" w:hAnsi="Tahoma" w:cs="Tahoma"/>
        </w:rPr>
        <w:t xml:space="preserve"> betona. Pogostost preiskav: destruktivne preiskave izvedemo na najmanj </w:t>
      </w:r>
      <w:r>
        <w:rPr>
          <w:rFonts w:ascii="Tahoma" w:hAnsi="Tahoma" w:cs="Tahoma"/>
        </w:rPr>
        <w:t>5</w:t>
      </w:r>
      <w:r w:rsidRPr="006C6D27">
        <w:rPr>
          <w:rFonts w:ascii="Tahoma" w:hAnsi="Tahoma" w:cs="Tahoma"/>
        </w:rPr>
        <w:t xml:space="preserve"> najbolj poškodovanih </w:t>
      </w:r>
      <w:r>
        <w:rPr>
          <w:rFonts w:ascii="Tahoma" w:hAnsi="Tahoma" w:cs="Tahoma"/>
        </w:rPr>
        <w:t>mestih</w:t>
      </w:r>
      <w:r w:rsidRPr="006C6D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določene skupine</w:t>
      </w:r>
      <w:r w:rsidRPr="006C6D27">
        <w:rPr>
          <w:rFonts w:ascii="Tahoma" w:hAnsi="Tahoma" w:cs="Tahoma"/>
        </w:rPr>
        <w:t xml:space="preserve"> objekt</w:t>
      </w:r>
      <w:r>
        <w:rPr>
          <w:rFonts w:ascii="Tahoma" w:hAnsi="Tahoma" w:cs="Tahoma"/>
        </w:rPr>
        <w:t xml:space="preserve">ov (prepustim podvozi, </w:t>
      </w:r>
      <w:proofErr w:type="gramStart"/>
      <w:r>
        <w:rPr>
          <w:rFonts w:ascii="Tahoma" w:hAnsi="Tahoma" w:cs="Tahoma"/>
        </w:rPr>
        <w:t xml:space="preserve">mostovi  </w:t>
      </w:r>
      <w:proofErr w:type="gramEnd"/>
      <w:r>
        <w:rPr>
          <w:rFonts w:ascii="Tahoma" w:hAnsi="Tahoma" w:cs="Tahoma"/>
        </w:rPr>
        <w:t>z razponom &gt; 3 m</w:t>
      </w:r>
      <w:r w:rsidRPr="006C6D27">
        <w:rPr>
          <w:rFonts w:ascii="Tahoma" w:hAnsi="Tahoma" w:cs="Tahoma"/>
        </w:rPr>
        <w:t xml:space="preserve">, na najmanj </w:t>
      </w:r>
      <w:r>
        <w:rPr>
          <w:rFonts w:ascii="Tahoma" w:hAnsi="Tahoma" w:cs="Tahoma"/>
        </w:rPr>
        <w:t>3</w:t>
      </w:r>
      <w:r w:rsidRPr="006C6D27">
        <w:rPr>
          <w:rFonts w:ascii="Tahoma" w:hAnsi="Tahoma" w:cs="Tahoma"/>
        </w:rPr>
        <w:t xml:space="preserve"> najbolj poškodovanih </w:t>
      </w:r>
      <w:r>
        <w:rPr>
          <w:rFonts w:ascii="Tahoma" w:hAnsi="Tahoma" w:cs="Tahoma"/>
        </w:rPr>
        <w:t>mestih</w:t>
      </w:r>
      <w:r w:rsidRPr="006C6D27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skupino o</w:t>
      </w:r>
      <w:r w:rsidRPr="006C6D27">
        <w:rPr>
          <w:rFonts w:ascii="Tahoma" w:hAnsi="Tahoma" w:cs="Tahoma"/>
        </w:rPr>
        <w:t>bjekt</w:t>
      </w:r>
      <w:r>
        <w:rPr>
          <w:rFonts w:ascii="Tahoma" w:hAnsi="Tahoma" w:cs="Tahoma"/>
        </w:rPr>
        <w:t>ov z razponom 2-3 m</w:t>
      </w:r>
      <w:r w:rsidRPr="006C6D27">
        <w:rPr>
          <w:rFonts w:ascii="Tahoma" w:hAnsi="Tahoma" w:cs="Tahoma"/>
        </w:rPr>
        <w:t xml:space="preserve">, </w:t>
      </w:r>
      <w:proofErr w:type="spellStart"/>
      <w:r w:rsidRPr="006C6D27">
        <w:rPr>
          <w:rFonts w:ascii="Tahoma" w:hAnsi="Tahoma" w:cs="Tahoma"/>
        </w:rPr>
        <w:t>nedestruktivne</w:t>
      </w:r>
      <w:proofErr w:type="spellEnd"/>
      <w:r w:rsidRPr="006C6D27">
        <w:rPr>
          <w:rFonts w:ascii="Tahoma" w:hAnsi="Tahoma" w:cs="Tahoma"/>
        </w:rPr>
        <w:t xml:space="preserve"> (</w:t>
      </w:r>
      <w:proofErr w:type="spellStart"/>
      <w:r w:rsidRPr="006C6D27">
        <w:rPr>
          <w:rFonts w:ascii="Tahoma" w:hAnsi="Tahoma" w:cs="Tahoma"/>
        </w:rPr>
        <w:t>sklerometriranje</w:t>
      </w:r>
      <w:proofErr w:type="spellEnd"/>
      <w:r w:rsidRPr="006C6D27">
        <w:rPr>
          <w:rFonts w:ascii="Tahoma" w:hAnsi="Tahoma" w:cs="Tahoma"/>
        </w:rPr>
        <w:t>) pa na najmanj 1</w:t>
      </w:r>
      <w:r>
        <w:rPr>
          <w:rFonts w:ascii="Tahoma" w:hAnsi="Tahoma" w:cs="Tahoma"/>
        </w:rPr>
        <w:t>5</w:t>
      </w:r>
      <w:r w:rsidRPr="006C6D27">
        <w:rPr>
          <w:rFonts w:ascii="Tahoma" w:hAnsi="Tahoma" w:cs="Tahoma"/>
        </w:rPr>
        <w:t xml:space="preserve"> mestih AB </w:t>
      </w:r>
      <w:r>
        <w:rPr>
          <w:rFonts w:ascii="Tahoma" w:hAnsi="Tahoma" w:cs="Tahoma"/>
        </w:rPr>
        <w:t>robnih vencev</w:t>
      </w:r>
      <w:r w:rsidRPr="006C6D27">
        <w:rPr>
          <w:rFonts w:ascii="Tahoma" w:hAnsi="Tahoma" w:cs="Tahoma"/>
        </w:rPr>
        <w:t>. Preiskave:</w:t>
      </w:r>
    </w:p>
    <w:p w:rsidR="006C6D27" w:rsidRPr="00DB193F" w:rsidRDefault="006C6D27" w:rsidP="00DB193F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 xml:space="preserve">Določitev tlačne trdnosti (na vzorcih in z </w:t>
      </w:r>
      <w:proofErr w:type="spellStart"/>
      <w:r w:rsidRPr="00DB193F">
        <w:rPr>
          <w:rFonts w:ascii="Tahoma" w:hAnsi="Tahoma" w:cs="Tahoma"/>
        </w:rPr>
        <w:t>nedestruktivno</w:t>
      </w:r>
      <w:proofErr w:type="spellEnd"/>
      <w:r w:rsidRPr="00DB193F">
        <w:rPr>
          <w:rFonts w:ascii="Tahoma" w:hAnsi="Tahoma" w:cs="Tahoma"/>
        </w:rPr>
        <w:t xml:space="preserve"> preiskavo – s </w:t>
      </w:r>
      <w:proofErr w:type="spellStart"/>
      <w:r w:rsidRPr="00DB193F">
        <w:rPr>
          <w:rFonts w:ascii="Tahoma" w:hAnsi="Tahoma" w:cs="Tahoma"/>
        </w:rPr>
        <w:t>sklerometriranjem</w:t>
      </w:r>
      <w:proofErr w:type="spellEnd"/>
      <w:r w:rsidRPr="00DB193F">
        <w:rPr>
          <w:rFonts w:ascii="Tahoma" w:hAnsi="Tahoma" w:cs="Tahoma"/>
        </w:rPr>
        <w:t xml:space="preserve">) – odvzem valjev in </w:t>
      </w:r>
      <w:proofErr w:type="spellStart"/>
      <w:r w:rsidRPr="00DB193F">
        <w:rPr>
          <w:rFonts w:ascii="Tahoma" w:hAnsi="Tahoma" w:cs="Tahoma"/>
        </w:rPr>
        <w:t>sklerometriraje</w:t>
      </w:r>
      <w:proofErr w:type="spellEnd"/>
      <w:r w:rsidRPr="00DB193F">
        <w:rPr>
          <w:rFonts w:ascii="Tahoma" w:hAnsi="Tahoma" w:cs="Tahoma"/>
        </w:rPr>
        <w:t xml:space="preserve"> skladno s standardom SIST EN 13791. </w:t>
      </w:r>
    </w:p>
    <w:p w:rsidR="006C6D27" w:rsidRPr="00DB193F" w:rsidRDefault="006C6D27" w:rsidP="00DB193F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Določitev vsebnosti kloridov po SIST EN 14629 in sulfatov po SIST EN 196-2 v betonu ter pH betona po SIST EN 14630</w:t>
      </w:r>
      <w:r w:rsidR="004E46CE" w:rsidRPr="00DB193F">
        <w:rPr>
          <w:rFonts w:ascii="Tahoma" w:hAnsi="Tahoma" w:cs="Tahoma"/>
        </w:rPr>
        <w:t>.</w:t>
      </w:r>
    </w:p>
    <w:p w:rsidR="006C6D27" w:rsidRPr="00DB193F" w:rsidRDefault="006C6D27" w:rsidP="00DB193F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 xml:space="preserve">Preiskave </w:t>
      </w:r>
      <w:proofErr w:type="spellStart"/>
      <w:r w:rsidRPr="00DB193F">
        <w:rPr>
          <w:rFonts w:ascii="Tahoma" w:hAnsi="Tahoma" w:cs="Tahoma"/>
        </w:rPr>
        <w:t>odtržne</w:t>
      </w:r>
      <w:proofErr w:type="spellEnd"/>
      <w:r w:rsidRPr="00DB193F">
        <w:rPr>
          <w:rFonts w:ascii="Tahoma" w:hAnsi="Tahoma" w:cs="Tahoma"/>
        </w:rPr>
        <w:t xml:space="preserve"> trdnosti betona po SIST EN 1542</w:t>
      </w:r>
      <w:r w:rsidR="004E46CE" w:rsidRPr="00DB193F">
        <w:rPr>
          <w:rFonts w:ascii="Tahoma" w:hAnsi="Tahoma" w:cs="Tahoma"/>
        </w:rPr>
        <w:t>.</w:t>
      </w:r>
      <w:r w:rsidRPr="00DB193F">
        <w:rPr>
          <w:rFonts w:ascii="Tahoma" w:hAnsi="Tahoma" w:cs="Tahoma"/>
        </w:rPr>
        <w:t xml:space="preserve"> </w:t>
      </w:r>
    </w:p>
    <w:p w:rsidR="006C6D27" w:rsidRPr="006C6D27" w:rsidRDefault="006C6D27" w:rsidP="004E46CE">
      <w:pPr>
        <w:jc w:val="both"/>
        <w:rPr>
          <w:rFonts w:ascii="Tahoma" w:hAnsi="Tahoma" w:cs="Tahoma"/>
        </w:rPr>
      </w:pPr>
      <w:r w:rsidRPr="006C6D27">
        <w:rPr>
          <w:rFonts w:ascii="Tahoma" w:hAnsi="Tahoma" w:cs="Tahoma"/>
        </w:rPr>
        <w:t>1.3.</w:t>
      </w:r>
      <w:r w:rsidRPr="006C6D27">
        <w:rPr>
          <w:rFonts w:ascii="Tahoma" w:hAnsi="Tahoma" w:cs="Tahoma"/>
        </w:rPr>
        <w:tab/>
        <w:t>Kontrola mehke armature</w:t>
      </w:r>
    </w:p>
    <w:p w:rsidR="006C6D27" w:rsidRPr="006C6D27" w:rsidRDefault="006C6D27" w:rsidP="004E46CE">
      <w:pPr>
        <w:jc w:val="both"/>
        <w:rPr>
          <w:rFonts w:ascii="Tahoma" w:hAnsi="Tahoma" w:cs="Tahoma"/>
        </w:rPr>
      </w:pPr>
      <w:r w:rsidRPr="006C6D27">
        <w:rPr>
          <w:rFonts w:ascii="Tahoma" w:hAnsi="Tahoma" w:cs="Tahoma"/>
        </w:rPr>
        <w:t xml:space="preserve">Ugotavljanje skladnosti izvedbe </w:t>
      </w:r>
      <w:proofErr w:type="gramStart"/>
      <w:r w:rsidRPr="006C6D27">
        <w:rPr>
          <w:rFonts w:ascii="Tahoma" w:hAnsi="Tahoma" w:cs="Tahoma"/>
        </w:rPr>
        <w:t>AB konstrukcij</w:t>
      </w:r>
      <w:proofErr w:type="gramEnd"/>
      <w:r w:rsidRPr="006C6D27">
        <w:rPr>
          <w:rFonts w:ascii="Tahoma" w:hAnsi="Tahoma" w:cs="Tahoma"/>
        </w:rPr>
        <w:t xml:space="preserve"> s projektom za izvedbo:</w:t>
      </w:r>
    </w:p>
    <w:p w:rsidR="00E307C0" w:rsidRPr="00E307C0" w:rsidRDefault="006C6D27" w:rsidP="004E46CE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307C0">
        <w:rPr>
          <w:rFonts w:ascii="Tahoma" w:hAnsi="Tahoma" w:cs="Tahoma"/>
        </w:rPr>
        <w:t>Nedestruktivne</w:t>
      </w:r>
      <w:proofErr w:type="spellEnd"/>
      <w:r w:rsidRPr="00E307C0">
        <w:rPr>
          <w:rFonts w:ascii="Tahoma" w:hAnsi="Tahoma" w:cs="Tahoma"/>
        </w:rPr>
        <w:t xml:space="preserve"> preiskave razporeda in ocene velikosti armature v konstrukcijskih elementih v kombinaciji </w:t>
      </w:r>
      <w:proofErr w:type="gramStart"/>
      <w:r w:rsidRPr="00E307C0">
        <w:rPr>
          <w:rFonts w:ascii="Tahoma" w:hAnsi="Tahoma" w:cs="Tahoma"/>
        </w:rPr>
        <w:t>s</w:t>
      </w:r>
      <w:r w:rsidR="00E307C0" w:rsidRPr="00E307C0">
        <w:rPr>
          <w:rFonts w:ascii="Tahoma" w:hAnsi="Tahoma" w:cs="Tahoma"/>
        </w:rPr>
        <w:t xml:space="preserve"> </w:t>
      </w:r>
      <w:r w:rsidR="00E307C0">
        <w:rPr>
          <w:rFonts w:ascii="Tahoma" w:hAnsi="Tahoma" w:cs="Tahoma"/>
        </w:rPr>
        <w:t xml:space="preserve"> </w:t>
      </w:r>
      <w:proofErr w:type="gramEnd"/>
      <w:r w:rsidR="00E307C0">
        <w:rPr>
          <w:rFonts w:ascii="Tahoma" w:hAnsi="Tahoma" w:cs="Tahoma"/>
        </w:rPr>
        <w:t>so</w:t>
      </w:r>
      <w:r w:rsidR="00E307C0" w:rsidRPr="00E307C0">
        <w:rPr>
          <w:rFonts w:ascii="Tahoma" w:hAnsi="Tahoma" w:cs="Tahoma"/>
        </w:rPr>
        <w:t>ndiranjem nosilnih elementov konstrukcije z določitvijo razporeda in velikosti armature ter debeline zaščitne plasti betona nad armaturo</w:t>
      </w:r>
      <w:r w:rsidR="004E46CE">
        <w:rPr>
          <w:rFonts w:ascii="Tahoma" w:hAnsi="Tahoma" w:cs="Tahoma"/>
        </w:rPr>
        <w:t>.</w:t>
      </w:r>
    </w:p>
    <w:p w:rsidR="006C6D27" w:rsidRPr="00E307C0" w:rsidRDefault="004E46CE" w:rsidP="004E46CE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E307C0" w:rsidRPr="00E307C0">
        <w:rPr>
          <w:rFonts w:ascii="Tahoma" w:hAnsi="Tahoma" w:cs="Tahoma"/>
        </w:rPr>
        <w:t xml:space="preserve">gotavljanje stopnje </w:t>
      </w:r>
      <w:proofErr w:type="spellStart"/>
      <w:r w:rsidR="00E307C0" w:rsidRPr="00E307C0">
        <w:rPr>
          <w:rFonts w:ascii="Tahoma" w:hAnsi="Tahoma" w:cs="Tahoma"/>
        </w:rPr>
        <w:t>korodiranosti</w:t>
      </w:r>
      <w:proofErr w:type="spellEnd"/>
      <w:r w:rsidR="00E307C0" w:rsidRPr="00E307C0">
        <w:rPr>
          <w:rFonts w:ascii="Tahoma" w:hAnsi="Tahoma" w:cs="Tahoma"/>
        </w:rPr>
        <w:t xml:space="preserve"> armature (in potencialne ogroženosti) na </w:t>
      </w:r>
      <w:proofErr w:type="gramStart"/>
      <w:r w:rsidR="00E307C0" w:rsidRPr="00E307C0">
        <w:rPr>
          <w:rFonts w:ascii="Tahoma" w:hAnsi="Tahoma" w:cs="Tahoma"/>
        </w:rPr>
        <w:t xml:space="preserve">najmanj  </w:t>
      </w:r>
      <w:proofErr w:type="gramEnd"/>
      <w:r w:rsidR="00E307C0" w:rsidRPr="00E307C0">
        <w:rPr>
          <w:rFonts w:ascii="Tahoma" w:hAnsi="Tahoma" w:cs="Tahoma"/>
        </w:rPr>
        <w:t>5 mestih</w:t>
      </w:r>
      <w:r w:rsidR="00E307C0">
        <w:rPr>
          <w:rFonts w:ascii="Tahoma" w:hAnsi="Tahoma" w:cs="Tahoma"/>
        </w:rPr>
        <w:t>.</w:t>
      </w:r>
    </w:p>
    <w:p w:rsidR="006C6D27" w:rsidRDefault="006C6D27" w:rsidP="004E46CE">
      <w:pPr>
        <w:jc w:val="both"/>
        <w:rPr>
          <w:rFonts w:ascii="Tahoma" w:hAnsi="Tahoma" w:cs="Tahoma"/>
          <w:b/>
        </w:rPr>
      </w:pPr>
    </w:p>
    <w:p w:rsidR="006C6D27" w:rsidRDefault="00DB193F" w:rsidP="00DB193F">
      <w:pPr>
        <w:ind w:left="85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del:</w:t>
      </w:r>
      <w:r>
        <w:rPr>
          <w:rFonts w:ascii="Tahoma" w:hAnsi="Tahoma" w:cs="Tahoma"/>
          <w:b/>
        </w:rPr>
        <w:tab/>
      </w:r>
      <w:r w:rsidR="006C6D27">
        <w:rPr>
          <w:rFonts w:ascii="Tahoma" w:hAnsi="Tahoma" w:cs="Tahoma"/>
          <w:b/>
        </w:rPr>
        <w:t xml:space="preserve">Statična presoja sidranja jeklenih vertikalnih stebrov PHO na AB konstrukcijo premostitvenega objekta </w:t>
      </w:r>
    </w:p>
    <w:p w:rsidR="006C6D27" w:rsidRPr="00E307C0" w:rsidRDefault="00E307C0" w:rsidP="004E46CE">
      <w:pPr>
        <w:jc w:val="both"/>
        <w:rPr>
          <w:rFonts w:ascii="Tahoma" w:hAnsi="Tahoma" w:cs="Tahoma"/>
        </w:rPr>
      </w:pPr>
      <w:proofErr w:type="gramStart"/>
      <w:r w:rsidRPr="00E307C0">
        <w:rPr>
          <w:rFonts w:ascii="Tahoma" w:hAnsi="Tahoma" w:cs="Tahoma"/>
        </w:rPr>
        <w:t xml:space="preserve">2.1  </w:t>
      </w:r>
      <w:proofErr w:type="gramEnd"/>
      <w:r w:rsidRPr="00E307C0">
        <w:rPr>
          <w:rFonts w:ascii="Tahoma" w:hAnsi="Tahoma" w:cs="Tahoma"/>
        </w:rPr>
        <w:tab/>
      </w:r>
      <w:r w:rsidR="006C6D27" w:rsidRPr="00E307C0">
        <w:rPr>
          <w:rFonts w:ascii="Tahoma" w:hAnsi="Tahoma" w:cs="Tahoma"/>
        </w:rPr>
        <w:t xml:space="preserve">Pritrditev nosilnih stebrov - splošno </w:t>
      </w:r>
    </w:p>
    <w:p w:rsidR="006C6D27" w:rsidRPr="00ED7072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t xml:space="preserve">Nosilni stebri </w:t>
      </w:r>
      <w:r>
        <w:rPr>
          <w:rFonts w:ascii="Tahoma" w:hAnsi="Tahoma" w:cs="Tahoma"/>
        </w:rPr>
        <w:t xml:space="preserve">PHO </w:t>
      </w:r>
      <w:r w:rsidRPr="00ED7072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na podnožju p</w:t>
      </w:r>
      <w:r w:rsidRPr="00ED7072">
        <w:rPr>
          <w:rFonts w:ascii="Tahoma" w:hAnsi="Tahoma" w:cs="Tahoma"/>
        </w:rPr>
        <w:t>ritrdijo na robn</w:t>
      </w:r>
      <w:r>
        <w:rPr>
          <w:rFonts w:ascii="Tahoma" w:hAnsi="Tahoma" w:cs="Tahoma"/>
        </w:rPr>
        <w:t>i</w:t>
      </w:r>
      <w:r w:rsidRPr="00ED7072">
        <w:rPr>
          <w:rFonts w:ascii="Tahoma" w:hAnsi="Tahoma" w:cs="Tahoma"/>
        </w:rPr>
        <w:t xml:space="preserve"> ven</w:t>
      </w:r>
      <w:r>
        <w:rPr>
          <w:rFonts w:ascii="Tahoma" w:hAnsi="Tahoma" w:cs="Tahoma"/>
        </w:rPr>
        <w:t>e</w:t>
      </w:r>
      <w:r w:rsidRPr="00ED7072">
        <w:rPr>
          <w:rFonts w:ascii="Tahoma" w:hAnsi="Tahoma" w:cs="Tahoma"/>
        </w:rPr>
        <w:t xml:space="preserve">c </w:t>
      </w:r>
      <w:r>
        <w:rPr>
          <w:rFonts w:ascii="Tahoma" w:hAnsi="Tahoma" w:cs="Tahoma"/>
        </w:rPr>
        <w:t>premostitvenega objekta</w:t>
      </w:r>
      <w:r w:rsidRPr="00ED7072">
        <w:rPr>
          <w:rFonts w:ascii="Tahoma" w:hAnsi="Tahoma" w:cs="Tahoma"/>
        </w:rPr>
        <w:t xml:space="preserve"> oz. </w:t>
      </w:r>
      <w:r>
        <w:rPr>
          <w:rFonts w:ascii="Tahoma" w:hAnsi="Tahoma" w:cs="Tahoma"/>
        </w:rPr>
        <w:t xml:space="preserve">stene </w:t>
      </w:r>
      <w:r w:rsidRPr="00ED7072">
        <w:rPr>
          <w:rFonts w:ascii="Tahoma" w:hAnsi="Tahoma" w:cs="Tahoma"/>
        </w:rPr>
        <w:t>podpornega ali krilnega zidu.</w:t>
      </w:r>
    </w:p>
    <w:p w:rsidR="006C6D27" w:rsidRPr="00ED7072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lastRenderedPageBreak/>
        <w:t>Podnožje ter pripadajo</w:t>
      </w:r>
      <w:r>
        <w:rPr>
          <w:rFonts w:ascii="Tahoma" w:hAnsi="Tahoma" w:cs="Tahoma"/>
        </w:rPr>
        <w:t>če</w:t>
      </w:r>
      <w:r w:rsidRPr="00ED7072">
        <w:rPr>
          <w:rFonts w:ascii="Tahoma" w:hAnsi="Tahoma" w:cs="Tahoma"/>
        </w:rPr>
        <w:t xml:space="preserve"> pritrdiln</w:t>
      </w:r>
      <w:r>
        <w:rPr>
          <w:rFonts w:ascii="Tahoma" w:hAnsi="Tahoma" w:cs="Tahoma"/>
        </w:rPr>
        <w:t>e</w:t>
      </w:r>
      <w:r w:rsidRPr="00ED7072">
        <w:rPr>
          <w:rFonts w:ascii="Tahoma" w:hAnsi="Tahoma" w:cs="Tahoma"/>
        </w:rPr>
        <w:t xml:space="preserve"> element</w:t>
      </w:r>
      <w:r>
        <w:rPr>
          <w:rFonts w:ascii="Tahoma" w:hAnsi="Tahoma" w:cs="Tahoma"/>
        </w:rPr>
        <w:t>e</w:t>
      </w:r>
      <w:r w:rsidRPr="00ED7072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s</w:t>
      </w:r>
      <w:r w:rsidRPr="00ED7072">
        <w:rPr>
          <w:rFonts w:ascii="Tahoma" w:hAnsi="Tahoma" w:cs="Tahoma"/>
        </w:rPr>
        <w:t>id</w:t>
      </w:r>
      <w:r>
        <w:rPr>
          <w:rFonts w:ascii="Tahoma" w:hAnsi="Tahoma" w:cs="Tahoma"/>
        </w:rPr>
        <w:t>r</w:t>
      </w:r>
      <w:r w:rsidRPr="00ED7072">
        <w:rPr>
          <w:rFonts w:ascii="Tahoma" w:hAnsi="Tahoma" w:cs="Tahoma"/>
        </w:rPr>
        <w:t xml:space="preserve">ni vložki, sidrni elementi ipd.) </w:t>
      </w:r>
      <w:r>
        <w:rPr>
          <w:rFonts w:ascii="Tahoma" w:hAnsi="Tahoma" w:cs="Tahoma"/>
        </w:rPr>
        <w:t>je treba</w:t>
      </w:r>
      <w:r w:rsidRPr="00ED7072">
        <w:rPr>
          <w:rFonts w:ascii="Tahoma" w:hAnsi="Tahoma" w:cs="Tahoma"/>
        </w:rPr>
        <w:t xml:space="preserve"> dimenzionira</w:t>
      </w:r>
      <w:r>
        <w:rPr>
          <w:rFonts w:ascii="Tahoma" w:hAnsi="Tahoma" w:cs="Tahoma"/>
        </w:rPr>
        <w:t>ti</w:t>
      </w:r>
      <w:r w:rsidRPr="00ED70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ED7072">
        <w:rPr>
          <w:rFonts w:ascii="Tahoma" w:hAnsi="Tahoma" w:cs="Tahoma"/>
        </w:rPr>
        <w:t>a vodoravno in navpično obremenitev.</w:t>
      </w:r>
    </w:p>
    <w:p w:rsidR="006C6D27" w:rsidRPr="00ED7072" w:rsidRDefault="006C6D27" w:rsidP="004E4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Sidr</w:t>
      </w:r>
      <w:r w:rsidRPr="00ED7072">
        <w:rPr>
          <w:rFonts w:ascii="Tahoma" w:hAnsi="Tahoma" w:cs="Tahoma"/>
        </w:rPr>
        <w:t xml:space="preserve">ni vložki morajo biti primerni </w:t>
      </w:r>
      <w:r>
        <w:rPr>
          <w:rFonts w:ascii="Tahoma" w:hAnsi="Tahoma" w:cs="Tahoma"/>
        </w:rPr>
        <w:t xml:space="preserve">kot </w:t>
      </w:r>
      <w:r w:rsidRPr="00ED7072">
        <w:rPr>
          <w:rFonts w:ascii="Tahoma" w:hAnsi="Tahoma" w:cs="Tahoma"/>
        </w:rPr>
        <w:t>za razpokan beton (primerni za uporabo v predelih nate</w:t>
      </w:r>
      <w:r>
        <w:rPr>
          <w:rFonts w:ascii="Tahoma" w:hAnsi="Tahoma" w:cs="Tahoma"/>
        </w:rPr>
        <w:t>zne cone betona</w:t>
      </w:r>
      <w:r w:rsidRPr="00ED7072">
        <w:rPr>
          <w:rFonts w:ascii="Tahoma" w:hAnsi="Tahoma" w:cs="Tahoma"/>
        </w:rPr>
        <w:t xml:space="preserve">) in proti koroziji zaščiteni </w:t>
      </w:r>
      <w:r>
        <w:rPr>
          <w:rFonts w:ascii="Tahoma" w:hAnsi="Tahoma" w:cs="Tahoma"/>
        </w:rPr>
        <w:t xml:space="preserve">minimalno </w:t>
      </w:r>
      <w:r w:rsidRPr="00ED7072">
        <w:rPr>
          <w:rFonts w:ascii="Tahoma" w:hAnsi="Tahoma" w:cs="Tahoma"/>
        </w:rPr>
        <w:t>z vročim cinkanjem. Sidrni elementi in primerljivi sestavni deli morajo biti</w:t>
      </w:r>
      <w:r>
        <w:rPr>
          <w:rFonts w:ascii="Tahoma" w:hAnsi="Tahoma" w:cs="Tahoma"/>
        </w:rPr>
        <w:t xml:space="preserve"> </w:t>
      </w:r>
      <w:r w:rsidRPr="00ED7072">
        <w:rPr>
          <w:rFonts w:ascii="Tahoma" w:hAnsi="Tahoma" w:cs="Tahoma"/>
        </w:rPr>
        <w:t xml:space="preserve">za vsak posamezni primer uporabe </w:t>
      </w:r>
      <w:r>
        <w:rPr>
          <w:rFonts w:ascii="Tahoma" w:hAnsi="Tahoma" w:cs="Tahoma"/>
        </w:rPr>
        <w:t xml:space="preserve">po številu in lastnostih </w:t>
      </w:r>
      <w:r w:rsidRPr="00ED7072">
        <w:rPr>
          <w:rFonts w:ascii="Tahoma" w:hAnsi="Tahoma" w:cs="Tahoma"/>
        </w:rPr>
        <w:t>zadostni in ustrezni ter imeti vsaj enakovredno zaščito proti koroziji.</w:t>
      </w:r>
    </w:p>
    <w:p w:rsidR="006C6D27" w:rsidRPr="00ED7072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t>Materiali za zalivanje izvrtin morajo biti obstojni proti zmrzali, izvrtino pa morajo zap</w:t>
      </w:r>
      <w:r>
        <w:rPr>
          <w:rFonts w:ascii="Tahoma" w:hAnsi="Tahoma" w:cs="Tahoma"/>
        </w:rPr>
        <w:t>olniti</w:t>
      </w:r>
      <w:r w:rsidRPr="00ED7072">
        <w:rPr>
          <w:rFonts w:ascii="Tahoma" w:hAnsi="Tahoma" w:cs="Tahoma"/>
        </w:rPr>
        <w:t xml:space="preserve"> tako, da bo trajno neprepustna za vodo. Pritrdiln</w:t>
      </w:r>
      <w:r>
        <w:rPr>
          <w:rFonts w:ascii="Tahoma" w:hAnsi="Tahoma" w:cs="Tahoma"/>
        </w:rPr>
        <w:t>e</w:t>
      </w:r>
      <w:r w:rsidRPr="00ED7072">
        <w:rPr>
          <w:rFonts w:ascii="Tahoma" w:hAnsi="Tahoma" w:cs="Tahoma"/>
        </w:rPr>
        <w:t xml:space="preserve"> element</w:t>
      </w:r>
      <w:r>
        <w:rPr>
          <w:rFonts w:ascii="Tahoma" w:hAnsi="Tahoma" w:cs="Tahoma"/>
        </w:rPr>
        <w:t>e</w:t>
      </w:r>
      <w:r w:rsidRPr="00ED70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Pr="00ED7072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mogoče izjemoma </w:t>
      </w:r>
      <w:r w:rsidRPr="00ED7072">
        <w:rPr>
          <w:rFonts w:ascii="Tahoma" w:hAnsi="Tahoma" w:cs="Tahoma"/>
        </w:rPr>
        <w:t>prestavlja</w:t>
      </w:r>
      <w:r>
        <w:rPr>
          <w:rFonts w:ascii="Tahoma" w:hAnsi="Tahoma" w:cs="Tahoma"/>
        </w:rPr>
        <w:t>ti</w:t>
      </w:r>
      <w:r w:rsidRPr="00ED7072">
        <w:rPr>
          <w:rFonts w:ascii="Tahoma" w:hAnsi="Tahoma" w:cs="Tahoma"/>
        </w:rPr>
        <w:t xml:space="preserve"> (vrsta, globina in premer izvrtine ipd.) </w:t>
      </w:r>
      <w:proofErr w:type="gramStart"/>
      <w:r>
        <w:rPr>
          <w:rFonts w:ascii="Tahoma" w:hAnsi="Tahoma" w:cs="Tahoma"/>
        </w:rPr>
        <w:t>le</w:t>
      </w:r>
      <w:proofErr w:type="gramEnd"/>
      <w:r>
        <w:rPr>
          <w:rFonts w:ascii="Tahoma" w:hAnsi="Tahoma" w:cs="Tahoma"/>
        </w:rPr>
        <w:t xml:space="preserve"> </w:t>
      </w:r>
      <w:r w:rsidRPr="00ED7072">
        <w:rPr>
          <w:rFonts w:ascii="Tahoma" w:hAnsi="Tahoma" w:cs="Tahoma"/>
        </w:rPr>
        <w:t>v skladu z navodili za vgradnjo.</w:t>
      </w:r>
    </w:p>
    <w:p w:rsidR="006C6D27" w:rsidRPr="00ED7072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t>V re</w:t>
      </w:r>
      <w:r>
        <w:rPr>
          <w:rFonts w:ascii="Tahoma" w:hAnsi="Tahoma" w:cs="Tahoma"/>
        </w:rPr>
        <w:t>g</w:t>
      </w:r>
      <w:r w:rsidRPr="00ED7072">
        <w:rPr>
          <w:rFonts w:ascii="Tahoma" w:hAnsi="Tahoma" w:cs="Tahoma"/>
        </w:rPr>
        <w:t>i med robnim vencem in podnožjem nosilnega stebra se po celotni površini</w:t>
      </w:r>
      <w:r>
        <w:rPr>
          <w:rFonts w:ascii="Tahoma" w:hAnsi="Tahoma" w:cs="Tahoma"/>
        </w:rPr>
        <w:t xml:space="preserve"> izvede </w:t>
      </w:r>
      <w:proofErr w:type="spellStart"/>
      <w:r w:rsidRPr="00ED7072">
        <w:rPr>
          <w:rFonts w:ascii="Tahoma" w:hAnsi="Tahoma" w:cs="Tahoma"/>
        </w:rPr>
        <w:t>vodoneprepusten</w:t>
      </w:r>
      <w:proofErr w:type="spellEnd"/>
      <w:r>
        <w:rPr>
          <w:rFonts w:ascii="Tahoma" w:hAnsi="Tahoma" w:cs="Tahoma"/>
        </w:rPr>
        <w:t xml:space="preserve"> in</w:t>
      </w:r>
      <w:r w:rsidRPr="00ED7072">
        <w:rPr>
          <w:rFonts w:ascii="Tahoma" w:hAnsi="Tahoma" w:cs="Tahoma"/>
        </w:rPr>
        <w:t xml:space="preserve"> proti </w:t>
      </w:r>
      <w:proofErr w:type="gramStart"/>
      <w:r w:rsidRPr="00ED7072">
        <w:rPr>
          <w:rFonts w:ascii="Tahoma" w:hAnsi="Tahoma" w:cs="Tahoma"/>
        </w:rPr>
        <w:t xml:space="preserve">zmrzali  </w:t>
      </w:r>
      <w:proofErr w:type="gramEnd"/>
      <w:r w:rsidRPr="00ED7072">
        <w:rPr>
          <w:rFonts w:ascii="Tahoma" w:hAnsi="Tahoma" w:cs="Tahoma"/>
        </w:rPr>
        <w:t xml:space="preserve">obstojen </w:t>
      </w:r>
      <w:proofErr w:type="spellStart"/>
      <w:r>
        <w:rPr>
          <w:rFonts w:ascii="Tahoma" w:hAnsi="Tahoma" w:cs="Tahoma"/>
        </w:rPr>
        <w:t>podlivni</w:t>
      </w:r>
      <w:proofErr w:type="spellEnd"/>
      <w:r w:rsidRPr="00ED7072">
        <w:rPr>
          <w:rFonts w:ascii="Tahoma" w:hAnsi="Tahoma" w:cs="Tahoma"/>
        </w:rPr>
        <w:t xml:space="preserve"> oz. izravnalni sloj, ki se ne krči, </w:t>
      </w:r>
      <w:r>
        <w:rPr>
          <w:rFonts w:ascii="Tahoma" w:hAnsi="Tahoma" w:cs="Tahoma"/>
        </w:rPr>
        <w:t>običajno material kot</w:t>
      </w:r>
      <w:r w:rsidRPr="00ED7072">
        <w:rPr>
          <w:rFonts w:ascii="Tahoma" w:hAnsi="Tahoma" w:cs="Tahoma"/>
        </w:rPr>
        <w:t xml:space="preserve"> cementno vezane </w:t>
      </w:r>
      <w:proofErr w:type="spellStart"/>
      <w:r>
        <w:rPr>
          <w:rFonts w:ascii="Tahoma" w:hAnsi="Tahoma" w:cs="Tahoma"/>
        </w:rPr>
        <w:t>podlivne</w:t>
      </w:r>
      <w:proofErr w:type="spellEnd"/>
      <w:r>
        <w:rPr>
          <w:rFonts w:ascii="Tahoma" w:hAnsi="Tahoma" w:cs="Tahoma"/>
        </w:rPr>
        <w:t xml:space="preserve"> </w:t>
      </w:r>
      <w:r w:rsidRPr="00ED7072">
        <w:rPr>
          <w:rFonts w:ascii="Tahoma" w:hAnsi="Tahoma" w:cs="Tahoma"/>
        </w:rPr>
        <w:t xml:space="preserve">malte z dodanimi </w:t>
      </w:r>
      <w:r>
        <w:rPr>
          <w:rFonts w:ascii="Tahoma" w:hAnsi="Tahoma" w:cs="Tahoma"/>
        </w:rPr>
        <w:t>polimernimi</w:t>
      </w:r>
      <w:r w:rsidRPr="00ED70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dodatki</w:t>
      </w:r>
      <w:r w:rsidRPr="00ED7072">
        <w:rPr>
          <w:rFonts w:ascii="Tahoma" w:hAnsi="Tahoma" w:cs="Tahoma"/>
        </w:rPr>
        <w:t xml:space="preserve"> ali</w:t>
      </w:r>
      <w:r>
        <w:rPr>
          <w:rFonts w:ascii="Tahoma" w:hAnsi="Tahoma" w:cs="Tahoma"/>
        </w:rPr>
        <w:t xml:space="preserve"> kot</w:t>
      </w:r>
      <w:r w:rsidRPr="00ED7072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podlivna</w:t>
      </w:r>
      <w:proofErr w:type="spellEnd"/>
      <w:r>
        <w:rPr>
          <w:rFonts w:ascii="Tahoma" w:hAnsi="Tahoma" w:cs="Tahoma"/>
        </w:rPr>
        <w:t xml:space="preserve"> masa</w:t>
      </w:r>
      <w:r w:rsidRPr="00ED7072">
        <w:rPr>
          <w:rFonts w:ascii="Tahoma" w:hAnsi="Tahoma" w:cs="Tahoma"/>
        </w:rPr>
        <w:t xml:space="preserve"> na osnovi reaktivne </w:t>
      </w:r>
      <w:r>
        <w:rPr>
          <w:rFonts w:ascii="Tahoma" w:hAnsi="Tahoma" w:cs="Tahoma"/>
        </w:rPr>
        <w:t xml:space="preserve">(epoksi) </w:t>
      </w:r>
      <w:r w:rsidRPr="00ED7072">
        <w:rPr>
          <w:rFonts w:ascii="Tahoma" w:hAnsi="Tahoma" w:cs="Tahoma"/>
        </w:rPr>
        <w:t xml:space="preserve">smole, debeline </w:t>
      </w:r>
      <w:r>
        <w:rPr>
          <w:rFonts w:ascii="Tahoma" w:hAnsi="Tahoma" w:cs="Tahoma"/>
        </w:rPr>
        <w:t>najmanj</w:t>
      </w:r>
      <w:r w:rsidRPr="00ED7072">
        <w:rPr>
          <w:rFonts w:ascii="Tahoma" w:hAnsi="Tahoma" w:cs="Tahoma"/>
        </w:rPr>
        <w:t xml:space="preserve"> 5 mm</w:t>
      </w:r>
      <w:r>
        <w:rPr>
          <w:rFonts w:ascii="Tahoma" w:hAnsi="Tahoma" w:cs="Tahoma"/>
        </w:rPr>
        <w:t xml:space="preserve"> in</w:t>
      </w:r>
      <w:r w:rsidRPr="00ED7072">
        <w:rPr>
          <w:rFonts w:ascii="Tahoma" w:hAnsi="Tahoma" w:cs="Tahoma"/>
        </w:rPr>
        <w:t xml:space="preserve"> največ 20 mm.</w:t>
      </w:r>
    </w:p>
    <w:p w:rsidR="006C6D27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t>Alternativno se lahko</w:t>
      </w:r>
      <w:proofErr w:type="gramStart"/>
      <w:r w:rsidRPr="00ED7072">
        <w:rPr>
          <w:rFonts w:ascii="Tahoma" w:hAnsi="Tahoma" w:cs="Tahoma"/>
        </w:rPr>
        <w:t xml:space="preserve"> kot</w:t>
      </w:r>
      <w:proofErr w:type="gramEnd"/>
      <w:r w:rsidRPr="00ED7072">
        <w:rPr>
          <w:rFonts w:ascii="Tahoma" w:hAnsi="Tahoma" w:cs="Tahoma"/>
        </w:rPr>
        <w:t xml:space="preserve"> vmesni sloj vstavi tudi podlaga iz </w:t>
      </w:r>
      <w:r>
        <w:rPr>
          <w:rFonts w:ascii="Tahoma" w:hAnsi="Tahoma" w:cs="Tahoma"/>
        </w:rPr>
        <w:t>(EPDM) elastomerne gume</w:t>
      </w:r>
      <w:r w:rsidRPr="00ED7072">
        <w:rPr>
          <w:rFonts w:ascii="Tahoma" w:hAnsi="Tahoma" w:cs="Tahoma"/>
        </w:rPr>
        <w:t xml:space="preserve">, obstojna proti UV žarkom in zmrzali, debeline </w:t>
      </w:r>
      <w:r>
        <w:rPr>
          <w:rFonts w:ascii="Tahoma" w:hAnsi="Tahoma" w:cs="Tahoma"/>
        </w:rPr>
        <w:t xml:space="preserve">najmanj </w:t>
      </w:r>
      <w:r w:rsidRPr="00ED7072">
        <w:rPr>
          <w:rFonts w:ascii="Tahoma" w:hAnsi="Tahoma" w:cs="Tahoma"/>
        </w:rPr>
        <w:t xml:space="preserve">5 mm. </w:t>
      </w:r>
    </w:p>
    <w:p w:rsidR="006C6D27" w:rsidRDefault="006C6D27" w:rsidP="004E46CE">
      <w:pPr>
        <w:jc w:val="both"/>
        <w:rPr>
          <w:rFonts w:ascii="Tahoma" w:hAnsi="Tahoma" w:cs="Tahoma"/>
        </w:rPr>
      </w:pPr>
      <w:r w:rsidRPr="00ED7072">
        <w:rPr>
          <w:rFonts w:ascii="Tahoma" w:hAnsi="Tahoma" w:cs="Tahoma"/>
        </w:rPr>
        <w:t xml:space="preserve">Če so vezna sredstva zaradi obremenitve </w:t>
      </w:r>
      <w:r>
        <w:rPr>
          <w:rFonts w:ascii="Tahoma" w:hAnsi="Tahoma" w:cs="Tahoma"/>
        </w:rPr>
        <w:t xml:space="preserve">stalno </w:t>
      </w:r>
      <w:r w:rsidRPr="00ED7072">
        <w:rPr>
          <w:rFonts w:ascii="Tahoma" w:hAnsi="Tahoma" w:cs="Tahoma"/>
        </w:rPr>
        <w:t>natezno obremenjena (npr. konzoln</w:t>
      </w:r>
      <w:r>
        <w:rPr>
          <w:rFonts w:ascii="Tahoma" w:hAnsi="Tahoma" w:cs="Tahoma"/>
        </w:rPr>
        <w:t>i nosilci</w:t>
      </w:r>
      <w:r w:rsidRPr="00ED7072">
        <w:rPr>
          <w:rFonts w:ascii="Tahoma" w:hAnsi="Tahoma" w:cs="Tahoma"/>
        </w:rPr>
        <w:t xml:space="preserve"> PH</w:t>
      </w:r>
      <w:r>
        <w:rPr>
          <w:rFonts w:ascii="Tahoma" w:hAnsi="Tahoma" w:cs="Tahoma"/>
        </w:rPr>
        <w:t>O</w:t>
      </w:r>
      <w:r w:rsidRPr="00ED7072">
        <w:rPr>
          <w:rFonts w:ascii="Tahoma" w:hAnsi="Tahoma" w:cs="Tahoma"/>
        </w:rPr>
        <w:t>) in niso prednapet</w:t>
      </w:r>
      <w:r>
        <w:rPr>
          <w:rFonts w:ascii="Tahoma" w:hAnsi="Tahoma" w:cs="Tahoma"/>
        </w:rPr>
        <w:t>a,</w:t>
      </w:r>
      <w:r w:rsidRPr="00ED7072">
        <w:rPr>
          <w:rFonts w:ascii="Tahoma" w:hAnsi="Tahoma" w:cs="Tahoma"/>
        </w:rPr>
        <w:t xml:space="preserve"> morajo imeti za 25 % povečan prečni prerez glede na statične zahteve.</w:t>
      </w:r>
      <w:r>
        <w:rPr>
          <w:rFonts w:ascii="Tahoma" w:hAnsi="Tahoma" w:cs="Tahoma"/>
        </w:rPr>
        <w:t xml:space="preserve"> </w:t>
      </w:r>
      <w:r w:rsidRPr="00ED7072">
        <w:rPr>
          <w:rFonts w:ascii="Tahoma" w:hAnsi="Tahoma" w:cs="Tahoma"/>
        </w:rPr>
        <w:t>Vsi vijačeni spoji morajo biti v skladu s pravili zavarovani proti odvitju.</w:t>
      </w:r>
    </w:p>
    <w:p w:rsidR="006C6D27" w:rsidRPr="00E307C0" w:rsidRDefault="00E307C0" w:rsidP="004E46CE">
      <w:pPr>
        <w:jc w:val="both"/>
        <w:rPr>
          <w:rFonts w:ascii="Tahoma" w:hAnsi="Tahoma" w:cs="Tahoma"/>
        </w:rPr>
      </w:pPr>
      <w:r w:rsidRPr="00E307C0">
        <w:rPr>
          <w:rFonts w:ascii="Tahoma" w:hAnsi="Tahoma" w:cs="Tahoma"/>
        </w:rPr>
        <w:t xml:space="preserve">2.2 </w:t>
      </w:r>
      <w:r w:rsidRPr="00E307C0">
        <w:rPr>
          <w:rFonts w:ascii="Tahoma" w:hAnsi="Tahoma" w:cs="Tahoma"/>
        </w:rPr>
        <w:tab/>
      </w:r>
      <w:r w:rsidR="006C6D27" w:rsidRPr="00E307C0">
        <w:rPr>
          <w:rFonts w:ascii="Tahoma" w:hAnsi="Tahoma" w:cs="Tahoma"/>
        </w:rPr>
        <w:t xml:space="preserve">Pritrditev na robni venec premostitvenega objekta, na podporne zidove </w:t>
      </w:r>
    </w:p>
    <w:p w:rsidR="006C6D27" w:rsidRDefault="006C6D27" w:rsidP="004E46CE">
      <w:pPr>
        <w:jc w:val="both"/>
        <w:rPr>
          <w:rFonts w:ascii="Tahoma" w:hAnsi="Tahoma" w:cs="Tahoma"/>
        </w:rPr>
      </w:pPr>
      <w:r w:rsidRPr="00BF6E52">
        <w:rPr>
          <w:rFonts w:ascii="Tahoma" w:hAnsi="Tahoma" w:cs="Tahoma"/>
        </w:rPr>
        <w:t xml:space="preserve">Pri pritrditvi nosilnih stebrov </w:t>
      </w:r>
      <w:r>
        <w:rPr>
          <w:rFonts w:ascii="Tahoma" w:hAnsi="Tahoma" w:cs="Tahoma"/>
        </w:rPr>
        <w:t>PHO</w:t>
      </w:r>
      <w:r w:rsidRPr="00BF6E52">
        <w:rPr>
          <w:rFonts w:ascii="Tahoma" w:hAnsi="Tahoma" w:cs="Tahoma"/>
        </w:rPr>
        <w:t xml:space="preserve"> s pomočjo sidrnih plošč so razdalje med nosilnimi stebri vzporedno s tiri omejene na a = 2,0 m. Pri večjih razdaljah se izvedejo pritrditve s temelji za opornike.</w:t>
      </w:r>
    </w:p>
    <w:p w:rsidR="006C6D27" w:rsidRPr="00E307C0" w:rsidRDefault="00E307C0" w:rsidP="004E46CE">
      <w:pPr>
        <w:jc w:val="both"/>
        <w:rPr>
          <w:rFonts w:ascii="Tahoma" w:hAnsi="Tahoma" w:cs="Tahoma"/>
        </w:rPr>
      </w:pPr>
      <w:r w:rsidRPr="00E307C0">
        <w:rPr>
          <w:rFonts w:ascii="Tahoma" w:hAnsi="Tahoma" w:cs="Tahoma"/>
        </w:rPr>
        <w:t>2.3</w:t>
      </w:r>
      <w:r w:rsidRPr="00E307C0">
        <w:rPr>
          <w:rFonts w:ascii="Tahoma" w:hAnsi="Tahoma" w:cs="Tahoma"/>
        </w:rPr>
        <w:tab/>
      </w:r>
      <w:r w:rsidR="006C6D27" w:rsidRPr="00E307C0">
        <w:rPr>
          <w:rFonts w:ascii="Tahoma" w:hAnsi="Tahoma" w:cs="Tahoma"/>
        </w:rPr>
        <w:t>Pritrditev PHO s pomočjo sidrne plošče</w:t>
      </w:r>
    </w:p>
    <w:p w:rsidR="006C6D27" w:rsidRPr="00BF6E52" w:rsidRDefault="006C6D27" w:rsidP="004E46CE">
      <w:pPr>
        <w:jc w:val="both"/>
        <w:rPr>
          <w:rFonts w:ascii="Tahoma" w:hAnsi="Tahoma" w:cs="Tahoma"/>
        </w:rPr>
      </w:pPr>
      <w:r w:rsidRPr="00BF6E52">
        <w:rPr>
          <w:rFonts w:ascii="Tahoma" w:hAnsi="Tahoma" w:cs="Tahoma"/>
        </w:rPr>
        <w:t xml:space="preserve">Dimenzioniranje sidrnih plošč se izvede po standardu </w:t>
      </w:r>
      <w:r>
        <w:rPr>
          <w:rFonts w:ascii="Tahoma" w:hAnsi="Tahoma" w:cs="Tahoma"/>
        </w:rPr>
        <w:t>SIST</w:t>
      </w:r>
      <w:r w:rsidRPr="00BF6E52">
        <w:rPr>
          <w:rFonts w:ascii="Tahoma" w:hAnsi="Tahoma" w:cs="Tahoma"/>
        </w:rPr>
        <w:t xml:space="preserve"> EN 1993-1-1.</w:t>
      </w:r>
    </w:p>
    <w:p w:rsidR="006C6D27" w:rsidRPr="00BF6E52" w:rsidRDefault="006C6D27" w:rsidP="004E46CE">
      <w:pPr>
        <w:jc w:val="both"/>
        <w:rPr>
          <w:rFonts w:ascii="Tahoma" w:hAnsi="Tahoma" w:cs="Tahoma"/>
        </w:rPr>
      </w:pPr>
      <w:r w:rsidRPr="00BF6E52">
        <w:rPr>
          <w:rFonts w:ascii="Tahoma" w:hAnsi="Tahoma" w:cs="Tahoma"/>
        </w:rPr>
        <w:t xml:space="preserve">Pri izvedbi sidrnih plošč za pritrditev nosilnih stebrov </w:t>
      </w:r>
      <w:r>
        <w:rPr>
          <w:rFonts w:ascii="Tahoma" w:hAnsi="Tahoma" w:cs="Tahoma"/>
        </w:rPr>
        <w:t>P</w:t>
      </w:r>
      <w:r w:rsidRPr="00BF6E52">
        <w:rPr>
          <w:rFonts w:ascii="Tahoma" w:hAnsi="Tahoma" w:cs="Tahoma"/>
        </w:rPr>
        <w:t>H</w:t>
      </w:r>
      <w:r>
        <w:rPr>
          <w:rFonts w:ascii="Tahoma" w:hAnsi="Tahoma" w:cs="Tahoma"/>
        </w:rPr>
        <w:t>O</w:t>
      </w:r>
      <w:r w:rsidRPr="00BF6E52">
        <w:rPr>
          <w:rFonts w:ascii="Tahoma" w:hAnsi="Tahoma" w:cs="Tahoma"/>
        </w:rPr>
        <w:t xml:space="preserve"> na armi</w:t>
      </w:r>
      <w:r w:rsidR="00DB193F">
        <w:rPr>
          <w:rFonts w:ascii="Tahoma" w:hAnsi="Tahoma" w:cs="Tahoma"/>
        </w:rPr>
        <w:t>ranem betonu se mora upoštevati</w:t>
      </w:r>
      <w:r>
        <w:rPr>
          <w:rFonts w:ascii="Tahoma" w:hAnsi="Tahoma" w:cs="Tahoma"/>
        </w:rPr>
        <w:t>:</w:t>
      </w:r>
      <w:r w:rsidRPr="00BF6E52">
        <w:rPr>
          <w:rFonts w:ascii="Tahoma" w:hAnsi="Tahoma" w:cs="Tahoma"/>
        </w:rPr>
        <w:t xml:space="preserve"> </w:t>
      </w:r>
    </w:p>
    <w:p w:rsidR="006C6D27" w:rsidRPr="00DB193F" w:rsidRDefault="006C6D27" w:rsidP="00DB193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čim bolj po celotni površini nalegajoče sidrne plošče</w:t>
      </w:r>
    </w:p>
    <w:p w:rsidR="006C6D27" w:rsidRPr="00DB193F" w:rsidRDefault="006C6D27" w:rsidP="00DB193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največ samo 1 opažna pločevina za izravnavo neravne površine</w:t>
      </w:r>
    </w:p>
    <w:p w:rsidR="006C6D27" w:rsidRPr="00DB193F" w:rsidRDefault="006C6D27" w:rsidP="00DB193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preostanek sidrnega vijaka ≥ 50</w:t>
      </w:r>
      <w:proofErr w:type="gramStart"/>
      <w:r w:rsidRPr="00DB193F">
        <w:rPr>
          <w:rFonts w:ascii="Tahoma" w:hAnsi="Tahoma" w:cs="Tahoma"/>
        </w:rPr>
        <w:t xml:space="preserve"> mm</w:t>
      </w:r>
      <w:proofErr w:type="gramEnd"/>
      <w:r w:rsidRPr="00DB193F">
        <w:rPr>
          <w:rFonts w:ascii="Tahoma" w:hAnsi="Tahoma" w:cs="Tahoma"/>
        </w:rPr>
        <w:t xml:space="preserve"> čez matico </w:t>
      </w:r>
    </w:p>
    <w:p w:rsidR="006C6D27" w:rsidRPr="00DB193F" w:rsidRDefault="006C6D27" w:rsidP="00DB193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uporaba minimalne prenapetostne sile v skladu z dovoljenjem uporabljenih sider</w:t>
      </w:r>
    </w:p>
    <w:p w:rsidR="00BC4315" w:rsidRPr="00DB193F" w:rsidRDefault="006C6D27" w:rsidP="00DB193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B193F">
        <w:rPr>
          <w:rFonts w:ascii="Tahoma" w:hAnsi="Tahoma" w:cs="Tahoma"/>
        </w:rPr>
        <w:t>sidra se izvedejo iz nerjavečega jekla (A4)</w:t>
      </w:r>
    </w:p>
    <w:p w:rsidR="00E307C0" w:rsidRDefault="00E307C0" w:rsidP="004E46CE">
      <w:pPr>
        <w:spacing w:after="0" w:line="240" w:lineRule="auto"/>
        <w:ind w:left="340"/>
        <w:jc w:val="both"/>
      </w:pPr>
    </w:p>
    <w:p w:rsidR="00E307C0" w:rsidRDefault="00E307C0" w:rsidP="00DB193F">
      <w:pPr>
        <w:spacing w:after="0" w:line="240" w:lineRule="auto"/>
        <w:jc w:val="both"/>
      </w:pPr>
    </w:p>
    <w:p w:rsidR="00E307C0" w:rsidRPr="00E307C0" w:rsidRDefault="00DB193F" w:rsidP="00DB193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V ponudbeni ceni mora biti upoštevano:</w:t>
      </w:r>
    </w:p>
    <w:p w:rsidR="00E307C0" w:rsidRPr="00E307C0" w:rsidRDefault="00E307C0" w:rsidP="004E46C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307C0">
        <w:rPr>
          <w:rFonts w:ascii="Tahoma" w:hAnsi="Tahoma" w:cs="Tahoma"/>
        </w:rPr>
        <w:t>Ponudnik je dolžan v ponudbi navesti stroške za celoten obseg detajlnega pregleda ob</w:t>
      </w:r>
      <w:r w:rsidR="00DB193F">
        <w:rPr>
          <w:rFonts w:ascii="Tahoma" w:hAnsi="Tahoma" w:cs="Tahoma"/>
        </w:rPr>
        <w:t>jekta v skladu z zahtevami iz teh navodil</w:t>
      </w:r>
      <w:r w:rsidRPr="00E307C0">
        <w:rPr>
          <w:rFonts w:ascii="Tahoma" w:hAnsi="Tahoma" w:cs="Tahoma"/>
        </w:rPr>
        <w:t xml:space="preserve">. </w:t>
      </w:r>
    </w:p>
    <w:p w:rsidR="00E307C0" w:rsidRPr="00E307C0" w:rsidRDefault="00E307C0" w:rsidP="004E46C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307C0">
        <w:rPr>
          <w:rFonts w:ascii="Tahoma" w:hAnsi="Tahoma" w:cs="Tahoma"/>
        </w:rPr>
        <w:t>V ponudbi morajo biti zajeti vsi stroški</w:t>
      </w:r>
      <w:r w:rsidR="00DB193F">
        <w:rPr>
          <w:rFonts w:ascii="Tahoma" w:hAnsi="Tahoma" w:cs="Tahoma"/>
        </w:rPr>
        <w:t xml:space="preserve"> za izvedbo detajlnega pregleda</w:t>
      </w:r>
      <w:r w:rsidRPr="00E307C0">
        <w:rPr>
          <w:rFonts w:ascii="Tahoma" w:hAnsi="Tahoma" w:cs="Tahoma"/>
        </w:rPr>
        <w:t xml:space="preserve"> in drugih potrebnih del oziroma storitev, kot npr.:</w:t>
      </w:r>
    </w:p>
    <w:p w:rsidR="00E307C0" w:rsidRPr="004E46CE" w:rsidRDefault="00E307C0" w:rsidP="004E46CE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4E46CE">
        <w:rPr>
          <w:rFonts w:ascii="Tahoma" w:hAnsi="Tahoma" w:cs="Tahoma"/>
        </w:rPr>
        <w:t>geodetski posnetek</w:t>
      </w:r>
    </w:p>
    <w:p w:rsidR="00E307C0" w:rsidRPr="004E46CE" w:rsidRDefault="00E307C0" w:rsidP="004E46CE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 w:rsidRPr="004E46CE">
        <w:rPr>
          <w:rFonts w:ascii="Tahoma" w:hAnsi="Tahoma" w:cs="Tahoma"/>
        </w:rPr>
        <w:t xml:space="preserve">zajeti stroške za dostop za pregled celotne površine </w:t>
      </w:r>
      <w:r w:rsidR="00C7275F">
        <w:rPr>
          <w:rFonts w:ascii="Tahoma" w:hAnsi="Tahoma" w:cs="Tahoma"/>
        </w:rPr>
        <w:t>obravnavanih delov AB konstrukcije</w:t>
      </w:r>
      <w:r w:rsidRPr="004E46CE">
        <w:rPr>
          <w:rFonts w:ascii="Tahoma" w:hAnsi="Tahoma" w:cs="Tahoma"/>
        </w:rPr>
        <w:t xml:space="preserve"> (dvižne košare</w:t>
      </w:r>
      <w:proofErr w:type="gramStart"/>
      <w:r w:rsidRPr="004E46CE">
        <w:rPr>
          <w:rFonts w:ascii="Tahoma" w:hAnsi="Tahoma" w:cs="Tahoma"/>
        </w:rPr>
        <w:t>…</w:t>
      </w:r>
      <w:proofErr w:type="gramEnd"/>
      <w:r w:rsidRPr="004E46CE">
        <w:rPr>
          <w:rFonts w:ascii="Tahoma" w:hAnsi="Tahoma" w:cs="Tahoma"/>
        </w:rPr>
        <w:t>)</w:t>
      </w:r>
    </w:p>
    <w:p w:rsidR="00E307C0" w:rsidRPr="003F3767" w:rsidRDefault="00E307C0" w:rsidP="00E6366E">
      <w:pPr>
        <w:pStyle w:val="Odstavekseznama"/>
        <w:numPr>
          <w:ilvl w:val="0"/>
          <w:numId w:val="3"/>
        </w:numPr>
        <w:spacing w:after="0" w:line="240" w:lineRule="auto"/>
        <w:ind w:left="340"/>
        <w:jc w:val="both"/>
        <w:rPr>
          <w:rFonts w:ascii="Tahoma" w:hAnsi="Tahoma" w:cs="Tahoma"/>
        </w:rPr>
      </w:pPr>
      <w:r w:rsidRPr="003F3767">
        <w:rPr>
          <w:rFonts w:ascii="Tahoma" w:hAnsi="Tahoma" w:cs="Tahoma"/>
        </w:rPr>
        <w:t>idr. glede na predvidene načine izvedbe pregledov posam</w:t>
      </w:r>
      <w:r w:rsidR="00DB193F" w:rsidRPr="003F3767">
        <w:rPr>
          <w:rFonts w:ascii="Tahoma" w:hAnsi="Tahoma" w:cs="Tahoma"/>
        </w:rPr>
        <w:t>eznih konstrukcijskih elementov.</w:t>
      </w:r>
      <w:bookmarkStart w:id="0" w:name="_GoBack"/>
      <w:bookmarkEnd w:id="0"/>
    </w:p>
    <w:sectPr w:rsidR="00E307C0" w:rsidRPr="003F3767" w:rsidSect="003F3767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F0" w:rsidRDefault="00B337F0" w:rsidP="004E46CE">
      <w:pPr>
        <w:spacing w:after="0" w:line="240" w:lineRule="auto"/>
      </w:pPr>
      <w:r>
        <w:separator/>
      </w:r>
    </w:p>
  </w:endnote>
  <w:endnote w:type="continuationSeparator" w:id="0">
    <w:p w:rsidR="00B337F0" w:rsidRDefault="00B337F0" w:rsidP="004E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1802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E46CE" w:rsidRPr="004E46CE" w:rsidRDefault="004E46CE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4E46CE">
          <w:rPr>
            <w:rFonts w:ascii="Tahoma" w:hAnsi="Tahoma" w:cs="Tahoma"/>
            <w:sz w:val="20"/>
            <w:szCs w:val="20"/>
          </w:rPr>
          <w:fldChar w:fldCharType="begin"/>
        </w:r>
        <w:r w:rsidRPr="004E46CE">
          <w:rPr>
            <w:rFonts w:ascii="Tahoma" w:hAnsi="Tahoma" w:cs="Tahoma"/>
            <w:sz w:val="20"/>
            <w:szCs w:val="20"/>
          </w:rPr>
          <w:instrText>PAGE   \* MERGEFORMAT</w:instrText>
        </w:r>
        <w:r w:rsidRPr="004E46CE">
          <w:rPr>
            <w:rFonts w:ascii="Tahoma" w:hAnsi="Tahoma" w:cs="Tahoma"/>
            <w:sz w:val="20"/>
            <w:szCs w:val="20"/>
          </w:rPr>
          <w:fldChar w:fldCharType="separate"/>
        </w:r>
        <w:r w:rsidR="003F3767">
          <w:rPr>
            <w:rFonts w:ascii="Tahoma" w:hAnsi="Tahoma" w:cs="Tahoma"/>
            <w:noProof/>
            <w:sz w:val="20"/>
            <w:szCs w:val="20"/>
          </w:rPr>
          <w:t>1</w:t>
        </w:r>
        <w:r w:rsidRPr="004E46CE">
          <w:rPr>
            <w:rFonts w:ascii="Tahoma" w:hAnsi="Tahoma" w:cs="Tahoma"/>
            <w:sz w:val="20"/>
            <w:szCs w:val="20"/>
          </w:rPr>
          <w:fldChar w:fldCharType="end"/>
        </w:r>
        <w:r w:rsidRPr="004E46CE">
          <w:rPr>
            <w:rFonts w:ascii="Tahoma" w:hAnsi="Tahoma" w:cs="Tahoma"/>
            <w:sz w:val="20"/>
            <w:szCs w:val="20"/>
          </w:rPr>
          <w:t>/3</w:t>
        </w:r>
      </w:p>
    </w:sdtContent>
  </w:sdt>
  <w:p w:rsidR="004E46CE" w:rsidRDefault="004E46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F0" w:rsidRDefault="00B337F0" w:rsidP="004E46CE">
      <w:pPr>
        <w:spacing w:after="0" w:line="240" w:lineRule="auto"/>
      </w:pPr>
      <w:r>
        <w:separator/>
      </w:r>
    </w:p>
  </w:footnote>
  <w:footnote w:type="continuationSeparator" w:id="0">
    <w:p w:rsidR="00B337F0" w:rsidRDefault="00B337F0" w:rsidP="004E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3A6"/>
    <w:multiLevelType w:val="hybridMultilevel"/>
    <w:tmpl w:val="3CDE815C"/>
    <w:lvl w:ilvl="0" w:tplc="3700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C9D"/>
    <w:multiLevelType w:val="hybridMultilevel"/>
    <w:tmpl w:val="C5F4DB06"/>
    <w:lvl w:ilvl="0" w:tplc="E50CA942">
      <w:numFmt w:val="bullet"/>
      <w:lvlText w:val="•"/>
      <w:lvlJc w:val="left"/>
      <w:pPr>
        <w:ind w:left="70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781198B"/>
    <w:multiLevelType w:val="hybridMultilevel"/>
    <w:tmpl w:val="1BF60778"/>
    <w:lvl w:ilvl="0" w:tplc="720A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66A"/>
    <w:multiLevelType w:val="hybridMultilevel"/>
    <w:tmpl w:val="F11C73BA"/>
    <w:lvl w:ilvl="0" w:tplc="720A44E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5B31A27"/>
    <w:multiLevelType w:val="hybridMultilevel"/>
    <w:tmpl w:val="830CC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262F"/>
    <w:multiLevelType w:val="hybridMultilevel"/>
    <w:tmpl w:val="30929ABE"/>
    <w:lvl w:ilvl="0" w:tplc="37004D5C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7C0763EC"/>
    <w:multiLevelType w:val="hybridMultilevel"/>
    <w:tmpl w:val="1BBEAAFC"/>
    <w:lvl w:ilvl="0" w:tplc="FBC4203C">
      <w:numFmt w:val="bullet"/>
      <w:lvlText w:val="•"/>
      <w:lvlJc w:val="left"/>
      <w:pPr>
        <w:ind w:left="71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7"/>
    <w:rsid w:val="003F3767"/>
    <w:rsid w:val="004E46CE"/>
    <w:rsid w:val="006C6D27"/>
    <w:rsid w:val="00A374A8"/>
    <w:rsid w:val="00B337F0"/>
    <w:rsid w:val="00BC4315"/>
    <w:rsid w:val="00C7275F"/>
    <w:rsid w:val="00DB193F"/>
    <w:rsid w:val="00E307C0"/>
    <w:rsid w:val="00EA6E05"/>
    <w:rsid w:val="00F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FA00"/>
  <w15:chartTrackingRefBased/>
  <w15:docId w15:val="{0BA230CE-BA39-4DC0-9B5D-30AB7F0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6D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7C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6C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E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46CE"/>
  </w:style>
  <w:style w:type="paragraph" w:styleId="Noga">
    <w:name w:val="footer"/>
    <w:basedOn w:val="Navaden"/>
    <w:link w:val="NogaZnak"/>
    <w:uiPriority w:val="99"/>
    <w:unhideWhenUsed/>
    <w:rsid w:val="004E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Lutman</dc:creator>
  <cp:keywords/>
  <dc:description/>
  <cp:lastModifiedBy>Mateja Vidmar</cp:lastModifiedBy>
  <cp:revision>3</cp:revision>
  <dcterms:created xsi:type="dcterms:W3CDTF">2022-06-24T10:31:00Z</dcterms:created>
  <dcterms:modified xsi:type="dcterms:W3CDTF">2022-06-24T10:38:00Z</dcterms:modified>
</cp:coreProperties>
</file>